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6" w:rsidRPr="00E3543F" w:rsidRDefault="007B3E16" w:rsidP="007B3E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E16" w:rsidRPr="00E3543F" w:rsidRDefault="007B3E16" w:rsidP="007B3E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3F">
        <w:rPr>
          <w:rFonts w:ascii="Times New Roman" w:hAnsi="Times New Roman" w:cs="Times New Roman"/>
          <w:color w:val="FF0000"/>
          <w:sz w:val="28"/>
          <w:szCs w:val="28"/>
        </w:rPr>
        <w:t>Вопрос:</w:t>
      </w:r>
      <w:r w:rsidRPr="00E3543F">
        <w:rPr>
          <w:rFonts w:ascii="Times New Roman" w:hAnsi="Times New Roman" w:cs="Times New Roman"/>
          <w:sz w:val="28"/>
          <w:szCs w:val="28"/>
        </w:rPr>
        <w:t xml:space="preserve"> Может ли работник со средним медицинским образованием и профессиональной переподготовкой по специальности "Фармация" быть приравнен к работнику со средним фармацевтическим образованием и осуществлять фармацевтическую деятельность?</w:t>
      </w:r>
    </w:p>
    <w:p w:rsidR="007B3E16" w:rsidRPr="00E3543F" w:rsidRDefault="007B3E16" w:rsidP="007B3E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43F">
        <w:rPr>
          <w:rFonts w:ascii="Times New Roman" w:hAnsi="Times New Roman" w:cs="Times New Roman"/>
          <w:color w:val="FF0000"/>
          <w:sz w:val="28"/>
          <w:szCs w:val="28"/>
        </w:rPr>
        <w:t>Ответ:</w:t>
      </w:r>
      <w:r w:rsidRPr="00E35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4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3543F">
          <w:rPr>
            <w:rFonts w:ascii="Times New Roman" w:hAnsi="Times New Roman" w:cs="Times New Roman"/>
            <w:sz w:val="28"/>
            <w:szCs w:val="28"/>
          </w:rPr>
          <w:t>частью 2 статьи 69</w:t>
        </w:r>
      </w:hyperlink>
      <w:r w:rsidRPr="00E3543F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N 323-ФЗ "Об основах охраны здоровья граждан в Российской Федерации" право на осуществление фармацевтической деятельности в Российской Федерации имеют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</w:t>
      </w:r>
      <w:proofErr w:type="gramEnd"/>
      <w:r w:rsidRPr="00E3543F">
        <w:rPr>
          <w:rFonts w:ascii="Times New Roman" w:hAnsi="Times New Roman" w:cs="Times New Roman"/>
          <w:sz w:val="28"/>
          <w:szCs w:val="28"/>
        </w:rPr>
        <w:t xml:space="preserve">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</w:t>
      </w:r>
      <w:proofErr w:type="spellStart"/>
      <w:r w:rsidRPr="00E3543F">
        <w:rPr>
          <w:rFonts w:ascii="Times New Roman" w:hAnsi="Times New Roman" w:cs="Times New Roman"/>
          <w:sz w:val="28"/>
          <w:szCs w:val="28"/>
        </w:rPr>
        <w:t>организации</w:t>
      </w:r>
      <w:proofErr w:type="gramStart"/>
      <w:r w:rsidRPr="00E3543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3543F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E3543F">
        <w:rPr>
          <w:rFonts w:ascii="Times New Roman" w:hAnsi="Times New Roman" w:cs="Times New Roman"/>
          <w:sz w:val="28"/>
          <w:szCs w:val="28"/>
        </w:rPr>
        <w:t xml:space="preserve"> образом, работник со средним медицинским образованием, прошедший указанную в тексте вопроса профессиональную переподготовку, вправе осуществлять фармацевтическую деятельность только в перечисленных выше подразделениях медицинских организаций, расположенных в сельских населенных пунктах, в которых отсутствуют аптечные организации.</w:t>
      </w:r>
    </w:p>
    <w:p w:rsidR="007B3E16" w:rsidRPr="00E3543F" w:rsidRDefault="007B3E16" w:rsidP="007B3E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3F">
        <w:rPr>
          <w:rFonts w:ascii="Times New Roman" w:hAnsi="Times New Roman" w:cs="Times New Roman"/>
          <w:color w:val="FF0000"/>
          <w:sz w:val="28"/>
          <w:szCs w:val="28"/>
        </w:rPr>
        <w:t>Вопрос:</w:t>
      </w:r>
      <w:r w:rsidRPr="00E354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543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3543F">
        <w:rPr>
          <w:rFonts w:ascii="Times New Roman" w:hAnsi="Times New Roman" w:cs="Times New Roman"/>
          <w:sz w:val="28"/>
          <w:szCs w:val="28"/>
        </w:rPr>
        <w:t xml:space="preserve"> ли лекарственные средства и изделия медицинского назначения с истекшим сроком годности перемещать в особую (карантинную) зону, но списание проводить в день вывоза просроченного груза на утилизацию, который может наступить через неопределенное время (через несколько месяцев, полгода и т.п.)? Если "Да", то необходимо ли такую ситуацию как-то отражать документально (прописать в </w:t>
      </w:r>
      <w:proofErr w:type="spellStart"/>
      <w:r w:rsidRPr="00E3543F">
        <w:rPr>
          <w:rFonts w:ascii="Times New Roman" w:hAnsi="Times New Roman" w:cs="Times New Roman"/>
          <w:sz w:val="28"/>
          <w:szCs w:val="28"/>
        </w:rPr>
        <w:t>СОПах</w:t>
      </w:r>
      <w:proofErr w:type="spellEnd"/>
      <w:r w:rsidRPr="00E3543F">
        <w:rPr>
          <w:rFonts w:ascii="Times New Roman" w:hAnsi="Times New Roman" w:cs="Times New Roman"/>
          <w:sz w:val="28"/>
          <w:szCs w:val="28"/>
        </w:rPr>
        <w:t xml:space="preserve"> или иных внутриорганизационных документах)?</w:t>
      </w:r>
    </w:p>
    <w:p w:rsidR="007B3E16" w:rsidRPr="00E3543F" w:rsidRDefault="007B3E16" w:rsidP="007B3E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43F">
        <w:rPr>
          <w:rFonts w:ascii="Times New Roman" w:hAnsi="Times New Roman" w:cs="Times New Roman"/>
          <w:color w:val="FF0000"/>
          <w:sz w:val="28"/>
          <w:szCs w:val="28"/>
        </w:rPr>
        <w:t>Ответ:</w:t>
      </w:r>
      <w:r w:rsidRPr="00E3543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6" w:history="1">
        <w:r w:rsidRPr="00E3543F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 w:rsidRPr="00E3543F">
        <w:rPr>
          <w:rFonts w:ascii="Times New Roman" w:hAnsi="Times New Roman" w:cs="Times New Roman"/>
          <w:sz w:val="28"/>
          <w:szCs w:val="28"/>
        </w:rPr>
        <w:t xml:space="preserve"> утвержденных Приказом Минздрава РФ от 31.08.2016 N 646н "Правил надлежащей практики хранения и перевозки лекарственных препаратов для медицинского применения" стандартные операционные процедуры (</w:t>
      </w:r>
      <w:proofErr w:type="spellStart"/>
      <w:r w:rsidRPr="00E3543F">
        <w:rPr>
          <w:rFonts w:ascii="Times New Roman" w:hAnsi="Times New Roman" w:cs="Times New Roman"/>
          <w:sz w:val="28"/>
          <w:szCs w:val="28"/>
        </w:rPr>
        <w:t>СОПы</w:t>
      </w:r>
      <w:proofErr w:type="spellEnd"/>
      <w:r w:rsidRPr="00E3543F">
        <w:rPr>
          <w:rFonts w:ascii="Times New Roman" w:hAnsi="Times New Roman" w:cs="Times New Roman"/>
          <w:sz w:val="28"/>
          <w:szCs w:val="28"/>
        </w:rPr>
        <w:t xml:space="preserve">) это документы, в которых </w:t>
      </w:r>
      <w:proofErr w:type="gramStart"/>
      <w:r w:rsidRPr="00E3543F">
        <w:rPr>
          <w:rFonts w:ascii="Times New Roman" w:hAnsi="Times New Roman" w:cs="Times New Roman"/>
          <w:sz w:val="28"/>
          <w:szCs w:val="28"/>
        </w:rPr>
        <w:t>регламентируются</w:t>
      </w:r>
      <w:proofErr w:type="gramEnd"/>
      <w:r w:rsidRPr="00E3543F">
        <w:rPr>
          <w:rFonts w:ascii="Times New Roman" w:hAnsi="Times New Roman" w:cs="Times New Roman"/>
          <w:sz w:val="28"/>
          <w:szCs w:val="28"/>
        </w:rPr>
        <w:t xml:space="preserve"> в том числе порядок совершения работниками действий при осуществлении хранения и (или) перевозке лекарственных препаратов, порядок обслуживания и поверки измерительных приборов и оборудования, ведение записей, отчетов и их хранение, прием, транспортировка, </w:t>
      </w:r>
      <w:r w:rsidRPr="00E3543F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лекарственных препаратов. Посредством утверждения этих документов и организации </w:t>
      </w:r>
      <w:proofErr w:type="gramStart"/>
      <w:r w:rsidRPr="00E354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543F">
        <w:rPr>
          <w:rFonts w:ascii="Times New Roman" w:hAnsi="Times New Roman" w:cs="Times New Roman"/>
          <w:sz w:val="28"/>
          <w:szCs w:val="28"/>
        </w:rPr>
        <w:t xml:space="preserve"> их соблюдением руководитель субъекта обращения лекарственных препаратов обеспечивает реализацию комплекса мер, направленных на соблюдение его работниками указанных выше </w:t>
      </w:r>
      <w:hyperlink r:id="rId7" w:history="1">
        <w:r w:rsidRPr="00E3543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E3543F">
        <w:rPr>
          <w:rFonts w:ascii="Times New Roman" w:hAnsi="Times New Roman" w:cs="Times New Roman"/>
          <w:sz w:val="28"/>
          <w:szCs w:val="28"/>
        </w:rPr>
        <w:t xml:space="preserve"> при хранении и (или) перевозке лекарственных препаратов (система качества).</w:t>
      </w:r>
    </w:p>
    <w:p w:rsidR="007B3E16" w:rsidRPr="00E3543F" w:rsidRDefault="007B3E16" w:rsidP="007B3E1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3F">
        <w:rPr>
          <w:rFonts w:ascii="Times New Roman" w:hAnsi="Times New Roman" w:cs="Times New Roman"/>
          <w:sz w:val="28"/>
          <w:szCs w:val="28"/>
        </w:rPr>
        <w:t xml:space="preserve">Порядок помещения лекарственных средств и медицинских изделий в карантинную зону и их дальнейшая утилизация регламентируется соответствующими </w:t>
      </w:r>
      <w:proofErr w:type="spellStart"/>
      <w:r w:rsidRPr="00E3543F">
        <w:rPr>
          <w:rFonts w:ascii="Times New Roman" w:hAnsi="Times New Roman" w:cs="Times New Roman"/>
          <w:sz w:val="28"/>
          <w:szCs w:val="28"/>
        </w:rPr>
        <w:t>СОПами</w:t>
      </w:r>
      <w:proofErr w:type="spellEnd"/>
      <w:r w:rsidRPr="00E3543F">
        <w:rPr>
          <w:rFonts w:ascii="Times New Roman" w:hAnsi="Times New Roman" w:cs="Times New Roman"/>
          <w:sz w:val="28"/>
          <w:szCs w:val="28"/>
        </w:rPr>
        <w:t>, а порядок списания пришедших в негодность товаров определяется бухгалтерским и налоговым законодательством и учетной политикой организации.</w:t>
      </w:r>
    </w:p>
    <w:p w:rsidR="00450B92" w:rsidRPr="004E7BBF" w:rsidRDefault="00450B92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color w:val="FF0000"/>
          <w:sz w:val="28"/>
          <w:szCs w:val="28"/>
        </w:rPr>
        <w:t xml:space="preserve">Вопрос: </w:t>
      </w:r>
      <w:r w:rsidRPr="00450B92">
        <w:rPr>
          <w:rFonts w:ascii="Times New Roman" w:hAnsi="Times New Roman" w:cs="Times New Roman"/>
          <w:sz w:val="28"/>
          <w:szCs w:val="28"/>
        </w:rPr>
        <w:t xml:space="preserve">Планирую открыть частную </w:t>
      </w:r>
      <w:r w:rsidR="00425D36">
        <w:rPr>
          <w:rFonts w:ascii="Times New Roman" w:hAnsi="Times New Roman" w:cs="Times New Roman"/>
          <w:sz w:val="28"/>
          <w:szCs w:val="28"/>
        </w:rPr>
        <w:t xml:space="preserve"> стоматологическую </w:t>
      </w:r>
      <w:r w:rsidRPr="00450B92">
        <w:rPr>
          <w:rFonts w:ascii="Times New Roman" w:hAnsi="Times New Roman" w:cs="Times New Roman"/>
          <w:sz w:val="28"/>
          <w:szCs w:val="28"/>
        </w:rPr>
        <w:t xml:space="preserve"> клинику.</w:t>
      </w:r>
      <w:r w:rsidR="00425D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0B92">
        <w:rPr>
          <w:rFonts w:ascii="Times New Roman" w:hAnsi="Times New Roman" w:cs="Times New Roman"/>
          <w:sz w:val="28"/>
          <w:szCs w:val="28"/>
        </w:rPr>
        <w:t xml:space="preserve"> Куда я могу обратиться за получением лицензии?</w:t>
      </w:r>
    </w:p>
    <w:p w:rsidR="00FF322D" w:rsidRPr="00450B92" w:rsidRDefault="004E7BBF" w:rsidP="005E68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color w:val="FF0000"/>
          <w:sz w:val="28"/>
          <w:szCs w:val="28"/>
        </w:rPr>
        <w:t xml:space="preserve">Ответ: </w:t>
      </w:r>
      <w:proofErr w:type="gramStart"/>
      <w:r w:rsidRPr="00450B92">
        <w:rPr>
          <w:rFonts w:ascii="Times New Roman" w:hAnsi="Times New Roman" w:cs="Times New Roman"/>
          <w:sz w:val="28"/>
          <w:szCs w:val="28"/>
        </w:rPr>
        <w:t>Лицензирование медицинской деятельности в соответствии со ст. 15 Федерального закона от 21.11.2011 № 323-ФЗ "Об основах охраны здоровья граждан в Российской Федерации" осуществляет лицензирующий орган субъекта Российской Федерации (в части предоставления и переоформления лицензий, предоставления дубликатов </w:t>
      </w:r>
      <w:proofErr w:type="gramEnd"/>
    </w:p>
    <w:p w:rsidR="00FF322D" w:rsidRPr="00450B92" w:rsidRDefault="004E7BBF" w:rsidP="005E68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sz w:val="28"/>
          <w:szCs w:val="28"/>
        </w:rPr>
        <w:t xml:space="preserve">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Pr="00450B92">
        <w:rPr>
          <w:rFonts w:ascii="Times New Roman" w:hAnsi="Times New Roman" w:cs="Times New Roman"/>
          <w:sz w:val="28"/>
          <w:szCs w:val="28"/>
        </w:rPr>
        <w:t>реестров</w:t>
      </w:r>
      <w:proofErr w:type="gramEnd"/>
      <w:r w:rsidRPr="00450B92">
        <w:rPr>
          <w:rFonts w:ascii="Times New Roman" w:hAnsi="Times New Roman" w:cs="Times New Roman"/>
          <w:sz w:val="28"/>
          <w:szCs w:val="28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</w:t>
      </w:r>
      <w:r w:rsidR="005E6834">
        <w:rPr>
          <w:rFonts w:ascii="Times New Roman" w:hAnsi="Times New Roman" w:cs="Times New Roman"/>
          <w:sz w:val="28"/>
          <w:szCs w:val="28"/>
        </w:rPr>
        <w:t>«</w:t>
      </w:r>
      <w:r w:rsidRPr="00450B92">
        <w:rPr>
          <w:rFonts w:ascii="Times New Roman" w:hAnsi="Times New Roman" w:cs="Times New Roman"/>
          <w:sz w:val="28"/>
          <w:szCs w:val="28"/>
        </w:rPr>
        <w:t>Интернет</w:t>
      </w:r>
      <w:r w:rsidR="005E6834">
        <w:rPr>
          <w:rFonts w:ascii="Times New Roman" w:hAnsi="Times New Roman" w:cs="Times New Roman"/>
          <w:sz w:val="28"/>
          <w:szCs w:val="28"/>
        </w:rPr>
        <w:t>»</w:t>
      </w:r>
      <w:r w:rsidRPr="00450B92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информация).</w:t>
      </w:r>
    </w:p>
    <w:p w:rsidR="00FF322D" w:rsidRPr="004E7BBF" w:rsidRDefault="004E7BBF" w:rsidP="005E68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7BBF">
        <w:rPr>
          <w:rFonts w:ascii="Times New Roman" w:hAnsi="Times New Roman" w:cs="Times New Roman"/>
          <w:sz w:val="28"/>
          <w:szCs w:val="28"/>
        </w:rPr>
        <w:t xml:space="preserve">      </w:t>
      </w:r>
      <w:r w:rsidR="005E68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7BBF">
        <w:rPr>
          <w:rFonts w:ascii="Times New Roman" w:hAnsi="Times New Roman" w:cs="Times New Roman"/>
          <w:sz w:val="28"/>
          <w:szCs w:val="28"/>
        </w:rPr>
        <w:t xml:space="preserve"> </w:t>
      </w:r>
      <w:r w:rsidRPr="00450B92">
        <w:rPr>
          <w:rFonts w:ascii="Times New Roman" w:hAnsi="Times New Roman" w:cs="Times New Roman"/>
          <w:sz w:val="28"/>
          <w:szCs w:val="28"/>
        </w:rPr>
        <w:t>Таким образом, при намерении получить лицензию на осуществление медицинской деятельности, представителю частной медицинской клиники необходимо обратиться в лицензирующий орган субъекта Российской Федерации, на территории которой планируется осуществление медицинской деятельности</w:t>
      </w:r>
      <w:r w:rsidR="003318BD">
        <w:rPr>
          <w:rFonts w:ascii="Times New Roman" w:hAnsi="Times New Roman" w:cs="Times New Roman"/>
          <w:sz w:val="28"/>
          <w:szCs w:val="28"/>
        </w:rPr>
        <w:t xml:space="preserve"> (в Министерство здравоохранения Сахалинской области)</w:t>
      </w:r>
      <w:r w:rsidRPr="00450B92">
        <w:rPr>
          <w:rFonts w:ascii="Times New Roman" w:hAnsi="Times New Roman" w:cs="Times New Roman"/>
          <w:sz w:val="28"/>
          <w:szCs w:val="28"/>
        </w:rPr>
        <w:t>.</w:t>
      </w:r>
    </w:p>
    <w:p w:rsidR="00450B92" w:rsidRPr="004E7BBF" w:rsidRDefault="00450B92" w:rsidP="005E683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Вопрос:</w:t>
      </w:r>
      <w:r w:rsidRPr="00450B92">
        <w:rPr>
          <w:rFonts w:ascii="Times New Roman" w:hAnsi="Times New Roman" w:cs="Times New Roman"/>
          <w:sz w:val="28"/>
          <w:szCs w:val="28"/>
        </w:rPr>
        <w:t xml:space="preserve"> Мне необходимо установить, изменить или отменить группу инвалидности.</w:t>
      </w:r>
      <w:r w:rsidR="00E023FE">
        <w:rPr>
          <w:rFonts w:ascii="Times New Roman" w:hAnsi="Times New Roman" w:cs="Times New Roman"/>
          <w:sz w:val="28"/>
          <w:szCs w:val="28"/>
        </w:rPr>
        <w:t xml:space="preserve"> Какие мои дальнейшие действия?</w:t>
      </w:r>
    </w:p>
    <w:p w:rsidR="00FF322D" w:rsidRPr="00450B92" w:rsidRDefault="004E7BBF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0B92">
        <w:rPr>
          <w:rFonts w:ascii="Times New Roman" w:hAnsi="Times New Roman" w:cs="Times New Roman"/>
          <w:color w:val="FF0000"/>
          <w:sz w:val="28"/>
          <w:szCs w:val="28"/>
        </w:rPr>
        <w:t>Ответ:</w:t>
      </w:r>
      <w:r w:rsidRPr="00450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B92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24.11.1995 № 181-ФЗ «О социальной защите инвалидов в Российской Федерации» функции по установлению инвалидности возложены на федеральные учреждения медико-социальной экспертизы.</w:t>
      </w:r>
      <w:proofErr w:type="gramEnd"/>
    </w:p>
    <w:p w:rsidR="00FF322D" w:rsidRPr="00450B92" w:rsidRDefault="005E6834" w:rsidP="00450B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7BBF" w:rsidRPr="00450B9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20.02.2006 № 95 «О порядке и условиях признания лица инвалидом» признание гражданина инвалидом осуществляется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утвержденных приказом Минздравсоцразвития России от 23.12.2009 № 1013н.</w:t>
      </w:r>
    </w:p>
    <w:p w:rsidR="00FF322D" w:rsidRPr="00450B92" w:rsidRDefault="004E7BBF" w:rsidP="003318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7B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0B92">
        <w:rPr>
          <w:rFonts w:ascii="Times New Roman" w:hAnsi="Times New Roman" w:cs="Times New Roman"/>
          <w:sz w:val="28"/>
          <w:szCs w:val="28"/>
        </w:rPr>
        <w:t>Таким образом, решение вопроса признания гражданина инвалидом относится к исключительной компетенции федеральных учреждений медико-социальной экспертизы.</w:t>
      </w:r>
    </w:p>
    <w:p w:rsidR="00FF322D" w:rsidRDefault="00E023FE" w:rsidP="003318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7BBF" w:rsidRPr="00450B92">
        <w:rPr>
          <w:rFonts w:ascii="Times New Roman" w:hAnsi="Times New Roman" w:cs="Times New Roman"/>
          <w:sz w:val="28"/>
          <w:szCs w:val="28"/>
        </w:rPr>
        <w:t>Полномочиями изменять или отменять решения федеральных учреждений медико-социальных экспертизы, а также давать оценку их обоснованности Росздравнадзор не обладает.</w:t>
      </w:r>
    </w:p>
    <w:p w:rsidR="00E023FE" w:rsidRDefault="00E023FE" w:rsidP="003318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3FE" w:rsidRPr="00E023FE" w:rsidRDefault="00E023FE" w:rsidP="003318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23FE">
        <w:rPr>
          <w:rFonts w:ascii="Times New Roman" w:hAnsi="Times New Roman" w:cs="Times New Roman"/>
          <w:color w:val="FF0000"/>
          <w:sz w:val="28"/>
          <w:szCs w:val="28"/>
        </w:rPr>
        <w:t xml:space="preserve">Вопрос:  </w:t>
      </w:r>
      <w:r w:rsidRPr="00E023FE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 лечебном учреждении я недоволен </w:t>
      </w:r>
      <w:r w:rsidRPr="00E023FE">
        <w:rPr>
          <w:rFonts w:ascii="Times New Roman" w:hAnsi="Times New Roman" w:cs="Times New Roman"/>
          <w:sz w:val="28"/>
          <w:szCs w:val="28"/>
          <w:lang w:eastAsia="ru-RU"/>
        </w:rPr>
        <w:t>качеством оказанной мне медицинской помощи.</w:t>
      </w:r>
    </w:p>
    <w:p w:rsidR="00E023FE" w:rsidRPr="00E023FE" w:rsidRDefault="00E023FE" w:rsidP="003318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3F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Ответ:</w:t>
      </w:r>
      <w:r w:rsidRPr="00E023F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E023F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соответствии со ст.15 Федерального закона от 21.11.2011 № 323-ФЗ «Об основах охраны здоровья граждан в Российской Федерации» (далее - Закон) органам государственной власти субъектов Российской Федерации передано полномочие по  лицензированию медицинской деятельность медицинских организаций в субъекте Российской Федерации (за исключением медицинских организаций, подведомственных федеральным органам исполнительной власти, государственным академиям наук, медицинских и иных организаций, осуществляющих деятельность по оказанию высокотехнологичной медицинской</w:t>
      </w:r>
      <w:proofErr w:type="gramEnd"/>
      <w:r w:rsidRPr="00E023F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помощи).</w:t>
      </w:r>
    </w:p>
    <w:p w:rsidR="00E023FE" w:rsidRPr="00E023FE" w:rsidRDefault="00E023FE" w:rsidP="003318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Pr="00E023F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соответствии со ст.16 Закона, вопросы организации оказания населению субъекта Российской Федерации медицинской помощи в медицинских организациях субъекта Российской Федерации отнесены к полномочиям органов государственной власти субъектов Российской Федерации в сфере охраны здоровья.</w:t>
      </w:r>
    </w:p>
    <w:p w:rsidR="00E023FE" w:rsidRPr="00E023FE" w:rsidRDefault="00E023FE" w:rsidP="003318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Pr="00E023F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соответствии со ст.89 Закона органы государственной власти субъектов Российской Федерации в сфере охраны здоровья осуществляют ведомственный контроль качества и безопасности медицинской деятельности в подведомственных им органах и организациях посредством осуществления проверок, в том числе соблюдения медицинскими организациями порядков оказания медицинской помощи и стандартов медицинской помощи.</w:t>
      </w:r>
    </w:p>
    <w:p w:rsidR="00E023FE" w:rsidRPr="00E023FE" w:rsidRDefault="00E023FE" w:rsidP="003318B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Pr="00E023F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обращения, основанием для которых служат факты ненадлежащей, по мнению заявителя, организации и качества оказания </w:t>
      </w:r>
      <w:r w:rsidRPr="00E023F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медицинской помощи в муниципальной или государственной медицинской организации субъекта Российской Федерации целесообразно направлять для рассмотрения по компетенции в орган государственной власти субъекта Российской Федерации в сфере охраны здоровья.</w:t>
      </w:r>
    </w:p>
    <w:p w:rsidR="00BF12B8" w:rsidRPr="00E023FE" w:rsidRDefault="00BF12B8" w:rsidP="0033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2B8" w:rsidRPr="00E023FE" w:rsidRDefault="00BF12B8" w:rsidP="0033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0C1" w:rsidRPr="009523C6" w:rsidRDefault="005710C1" w:rsidP="005710C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23C6">
        <w:rPr>
          <w:rFonts w:ascii="Times New Roman" w:hAnsi="Times New Roman"/>
          <w:b/>
          <w:sz w:val="28"/>
          <w:szCs w:val="28"/>
        </w:rPr>
        <w:t>Зачем организовывать работу по Мониторингу безопасности медицинских изделий?</w:t>
      </w:r>
    </w:p>
    <w:p w:rsidR="005710C1" w:rsidRPr="009523C6" w:rsidRDefault="005710C1" w:rsidP="005710C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523C6">
        <w:rPr>
          <w:rFonts w:ascii="Times New Roman" w:hAnsi="Times New Roman"/>
          <w:sz w:val="28"/>
          <w:szCs w:val="28"/>
        </w:rPr>
        <w:t xml:space="preserve">В соответствии с п.1 ст. 96 Федерального закона от 21 ноября 2011 г. N 323-ФЗ «Об основах охраны здоровья граждан в Российской Федерации» медицинские изделия, находящиеся в обращении на территории Российской Федерации, подлежат мониторингу безопасности </w:t>
      </w:r>
      <w:r w:rsidRPr="009523C6">
        <w:rPr>
          <w:rFonts w:ascii="Times New Roman" w:hAnsi="Times New Roman"/>
          <w:b/>
          <w:sz w:val="28"/>
          <w:szCs w:val="28"/>
        </w:rPr>
        <w:t>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</w:t>
      </w:r>
      <w:proofErr w:type="gramEnd"/>
      <w:r w:rsidRPr="009523C6">
        <w:rPr>
          <w:rFonts w:ascii="Times New Roman" w:hAnsi="Times New Roman"/>
          <w:b/>
          <w:sz w:val="28"/>
          <w:szCs w:val="28"/>
        </w:rPr>
        <w:t>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5710C1" w:rsidRPr="009523C6" w:rsidRDefault="005710C1" w:rsidP="0057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3C6">
        <w:rPr>
          <w:rFonts w:ascii="Times New Roman" w:hAnsi="Times New Roman"/>
          <w:sz w:val="28"/>
          <w:szCs w:val="28"/>
        </w:rPr>
        <w:t>Субъекты обращения медицинских изделий обязаны сообщать в Росздравнадзор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(его Территориальный органы) </w:t>
      </w:r>
      <w:r w:rsidRPr="009523C6">
        <w:rPr>
          <w:rFonts w:ascii="Times New Roman" w:hAnsi="Times New Roman"/>
          <w:sz w:val="28"/>
          <w:szCs w:val="28"/>
        </w:rPr>
        <w:t>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</w:t>
      </w:r>
      <w:proofErr w:type="gramEnd"/>
      <w:r w:rsidRPr="009523C6">
        <w:rPr>
          <w:rFonts w:ascii="Times New Roman" w:hAnsi="Times New Roman"/>
          <w:sz w:val="28"/>
          <w:szCs w:val="28"/>
        </w:rPr>
        <w:t xml:space="preserve"> медицинских изделий.</w:t>
      </w:r>
    </w:p>
    <w:p w:rsidR="005710C1" w:rsidRPr="009523C6" w:rsidRDefault="005710C1" w:rsidP="0057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0C1" w:rsidRPr="009523C6" w:rsidRDefault="005710C1" w:rsidP="0057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3C6">
        <w:rPr>
          <w:rFonts w:ascii="Times New Roman" w:hAnsi="Times New Roman"/>
          <w:sz w:val="28"/>
          <w:szCs w:val="28"/>
        </w:rPr>
        <w:t xml:space="preserve">В случае подтверждения угрозы причинения вреда жизни и здоровья граждан, </w:t>
      </w:r>
      <w:proofErr w:type="spellStart"/>
      <w:r w:rsidRPr="009523C6">
        <w:rPr>
          <w:rFonts w:ascii="Times New Roman" w:hAnsi="Times New Roman"/>
          <w:sz w:val="28"/>
          <w:szCs w:val="28"/>
        </w:rPr>
        <w:t>Росздравнадзором</w:t>
      </w:r>
      <w:proofErr w:type="spellEnd"/>
      <w:r w:rsidRPr="009523C6">
        <w:rPr>
          <w:rFonts w:ascii="Times New Roman" w:hAnsi="Times New Roman"/>
          <w:sz w:val="28"/>
          <w:szCs w:val="28"/>
        </w:rPr>
        <w:t xml:space="preserve"> запрашивается у производителей медицинских изделий информация о наличии иных случаев нежелательных событий с участием данного изделия, а также документы о соответствии данного </w:t>
      </w:r>
      <w:r w:rsidRPr="009523C6">
        <w:rPr>
          <w:rFonts w:ascii="Times New Roman" w:hAnsi="Times New Roman"/>
          <w:sz w:val="28"/>
          <w:szCs w:val="28"/>
        </w:rPr>
        <w:lastRenderedPageBreak/>
        <w:t>изделия требованиям качества (включая результаты внутреннего расследования).</w:t>
      </w:r>
      <w:proofErr w:type="gramEnd"/>
    </w:p>
    <w:p w:rsidR="005710C1" w:rsidRPr="009523C6" w:rsidRDefault="005710C1" w:rsidP="0057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3C6">
        <w:rPr>
          <w:rFonts w:ascii="Times New Roman" w:hAnsi="Times New Roman"/>
          <w:sz w:val="28"/>
          <w:szCs w:val="28"/>
        </w:rPr>
        <w:t>По итогам рассмотрения представленной информации при наличии угрозы причинения вреда жизни и здоровья граждан Росздравнадзор принимает решение о приостановлении обращения медицинского изделия, о проведении контрольных мероприятий в отношении медицинской организации, в которой произошли выявленные события, и/или организации-производителя и отборе образцов медицинского изделия.</w:t>
      </w:r>
      <w:proofErr w:type="gramEnd"/>
    </w:p>
    <w:p w:rsidR="005710C1" w:rsidRDefault="005710C1" w:rsidP="0057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9523C6">
        <w:rPr>
          <w:rFonts w:ascii="Times New Roman" w:hAnsi="Times New Roman"/>
          <w:sz w:val="28"/>
          <w:szCs w:val="28"/>
        </w:rPr>
        <w:t xml:space="preserve">В случае подтверждения в ходе указанных мероприятий несоответствия медицинских изделий установленным требованиям </w:t>
      </w:r>
      <w:proofErr w:type="spellStart"/>
      <w:r w:rsidRPr="009523C6">
        <w:rPr>
          <w:rFonts w:ascii="Times New Roman" w:hAnsi="Times New Roman"/>
          <w:sz w:val="28"/>
          <w:szCs w:val="28"/>
        </w:rPr>
        <w:t>Росздравнадзором</w:t>
      </w:r>
      <w:proofErr w:type="spellEnd"/>
      <w:r w:rsidRPr="009523C6">
        <w:rPr>
          <w:rFonts w:ascii="Times New Roman" w:hAnsi="Times New Roman"/>
          <w:sz w:val="28"/>
          <w:szCs w:val="28"/>
        </w:rPr>
        <w:t xml:space="preserve"> принимается решение об изъятии из обращения таких медицинских изделий с размещением информационных писем на официальном сайте Федеральной службы по надзору в сфере здравоохранения, которые вы можете найти в разделе «документы» данной страницы.</w:t>
      </w:r>
      <w:proofErr w:type="gramEnd"/>
    </w:p>
    <w:p w:rsidR="005710C1" w:rsidRPr="000C004C" w:rsidRDefault="005710C1" w:rsidP="005710C1">
      <w:pPr>
        <w:spacing w:after="0" w:line="360" w:lineRule="auto"/>
        <w:ind w:firstLine="709"/>
        <w:jc w:val="both"/>
        <w:rPr>
          <w:highlight w:val="yellow"/>
        </w:rPr>
      </w:pPr>
    </w:p>
    <w:p w:rsidR="005710C1" w:rsidRPr="00485A51" w:rsidRDefault="005710C1" w:rsidP="005710C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5A5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Слышал, что </w:t>
      </w:r>
      <w:proofErr w:type="spellStart"/>
      <w:r w:rsidRPr="00485A51">
        <w:rPr>
          <w:rFonts w:ascii="Times New Roman" w:hAnsi="Times New Roman"/>
          <w:b/>
          <w:sz w:val="28"/>
          <w:szCs w:val="28"/>
        </w:rPr>
        <w:t>Росздравнадзор</w:t>
      </w:r>
      <w:r>
        <w:rPr>
          <w:rFonts w:ascii="Times New Roman" w:hAnsi="Times New Roman"/>
          <w:b/>
          <w:sz w:val="28"/>
          <w:szCs w:val="28"/>
        </w:rPr>
        <w:t>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утверждены проверочные листы (список вопросов) по </w:t>
      </w:r>
      <w:proofErr w:type="gramStart"/>
      <w:r w:rsidRPr="00485A51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485A51">
        <w:rPr>
          <w:rFonts w:ascii="Times New Roman" w:hAnsi="Times New Roman"/>
          <w:b/>
          <w:sz w:val="28"/>
          <w:szCs w:val="28"/>
        </w:rPr>
        <w:t xml:space="preserve"> обращением медицинских изделий</w:t>
      </w:r>
      <w:r>
        <w:rPr>
          <w:rFonts w:ascii="Times New Roman" w:hAnsi="Times New Roman"/>
          <w:b/>
          <w:sz w:val="28"/>
          <w:szCs w:val="28"/>
        </w:rPr>
        <w:t xml:space="preserve">, по которым можно осуществить самоконтроль организации.  </w:t>
      </w:r>
      <w:r w:rsidRPr="00485A51">
        <w:rPr>
          <w:rFonts w:ascii="Times New Roman" w:hAnsi="Times New Roman"/>
          <w:b/>
          <w:sz w:val="28"/>
          <w:szCs w:val="28"/>
        </w:rPr>
        <w:t xml:space="preserve">Каким приказом утверждены </w:t>
      </w:r>
      <w:r>
        <w:rPr>
          <w:rFonts w:ascii="Times New Roman" w:hAnsi="Times New Roman"/>
          <w:b/>
          <w:sz w:val="28"/>
          <w:szCs w:val="28"/>
        </w:rPr>
        <w:t xml:space="preserve">эти проверочные листы </w:t>
      </w:r>
      <w:r w:rsidRPr="00485A51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485A51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485A51">
        <w:rPr>
          <w:rFonts w:ascii="Times New Roman" w:hAnsi="Times New Roman"/>
          <w:b/>
          <w:sz w:val="28"/>
          <w:szCs w:val="28"/>
        </w:rPr>
        <w:t xml:space="preserve"> обращением медицинских изделий? </w:t>
      </w:r>
    </w:p>
    <w:p w:rsidR="005710C1" w:rsidRPr="00485A51" w:rsidRDefault="005710C1" w:rsidP="005710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A51">
        <w:rPr>
          <w:rFonts w:ascii="Times New Roman" w:hAnsi="Times New Roman"/>
          <w:sz w:val="28"/>
          <w:szCs w:val="28"/>
        </w:rPr>
        <w:t xml:space="preserve">Приказ Росздравнадзора от 20.12.2017 N 10449 "Об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</w:t>
      </w:r>
      <w:proofErr w:type="gramStart"/>
      <w:r w:rsidRPr="00485A5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85A51">
        <w:rPr>
          <w:rFonts w:ascii="Times New Roman" w:hAnsi="Times New Roman"/>
          <w:sz w:val="28"/>
          <w:szCs w:val="28"/>
        </w:rPr>
        <w:t xml:space="preserve"> обращением медицинских изделий"</w:t>
      </w:r>
      <w:r>
        <w:rPr>
          <w:rFonts w:ascii="Times New Roman" w:hAnsi="Times New Roman"/>
          <w:sz w:val="28"/>
          <w:szCs w:val="28"/>
        </w:rPr>
        <w:t xml:space="preserve"> размещен на официальном сайте службы, а также в правовых системах. </w:t>
      </w:r>
    </w:p>
    <w:p w:rsidR="00BF12B8" w:rsidRPr="00E023FE" w:rsidRDefault="00BF12B8" w:rsidP="00331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12B8" w:rsidRPr="00E023FE" w:rsidSect="00BD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1476"/>
    <w:multiLevelType w:val="hybridMultilevel"/>
    <w:tmpl w:val="6002B570"/>
    <w:lvl w:ilvl="0" w:tplc="26EC7E1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0C69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EA5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C564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8CE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629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7ECFB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211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28B2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512DB4"/>
    <w:multiLevelType w:val="hybridMultilevel"/>
    <w:tmpl w:val="0AAA7578"/>
    <w:lvl w:ilvl="0" w:tplc="EC2E48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C420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7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B070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89D5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7A33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D6142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643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89E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DB35BE9"/>
    <w:multiLevelType w:val="hybridMultilevel"/>
    <w:tmpl w:val="AA4E19F6"/>
    <w:lvl w:ilvl="0" w:tplc="518A77A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2772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1ABD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8D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00DC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9004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A04D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4EF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8CA6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8594519"/>
    <w:multiLevelType w:val="hybridMultilevel"/>
    <w:tmpl w:val="34E0E4B2"/>
    <w:lvl w:ilvl="0" w:tplc="2B8E3C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EC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2B9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A0DB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89B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866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748B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64586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497C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22"/>
    <w:rsid w:val="00003518"/>
    <w:rsid w:val="002D2C4F"/>
    <w:rsid w:val="003318BD"/>
    <w:rsid w:val="00425D36"/>
    <w:rsid w:val="00450B92"/>
    <w:rsid w:val="004E7BBF"/>
    <w:rsid w:val="005710C1"/>
    <w:rsid w:val="005E6834"/>
    <w:rsid w:val="007B3E16"/>
    <w:rsid w:val="00BD487A"/>
    <w:rsid w:val="00BF12B8"/>
    <w:rsid w:val="00BF5322"/>
    <w:rsid w:val="00E023FE"/>
    <w:rsid w:val="00E3543F"/>
    <w:rsid w:val="00FC0C03"/>
    <w:rsid w:val="00FF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2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2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687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858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04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9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78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20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80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6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80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8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72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63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2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13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6A752089E5E2595DFE27B37C31831A232896E5F93C7BD9A2CD2A45157F54057CA5A9113A5BFAD28BFC72C58E854B23E3FD1E9B1CD3163V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46A752089E5E2595DFE27B37C31831A232896E5F93C7BD9A2CD2A45157F54057CA5A9113A5BFA828BFC72C58E854B23E3FD1E9B1CD3163V9D" TargetMode="External"/><Relationship Id="rId5" Type="http://schemas.openxmlformats.org/officeDocument/2006/relationships/hyperlink" Target="consultantplus://offline/ref=E6653507303C0BA4A4CFAED2D8B5C5C0C7C0F781813DEBD4BDEE25313E912E08E1874EDBB8984ADE5A2A77FC8AFA073D9A9E60AB7994D4N0E1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Довгополова Л И</cp:lastModifiedBy>
  <cp:revision>11</cp:revision>
  <dcterms:created xsi:type="dcterms:W3CDTF">2018-05-09T12:51:00Z</dcterms:created>
  <dcterms:modified xsi:type="dcterms:W3CDTF">2018-10-31T04:46:00Z</dcterms:modified>
</cp:coreProperties>
</file>