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1D2128" w:rsidRPr="005966F6" w:rsidRDefault="001D2128" w:rsidP="001D2128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1" w:name="_Toc475437433"/>
      <w:r w:rsidRPr="005966F6">
        <w:rPr>
          <w:rFonts w:cs="Times New Roman"/>
        </w:rPr>
        <w:t>Федеральные законы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339"/>
        <w:gridCol w:w="3052"/>
        <w:gridCol w:w="2630"/>
      </w:tblGrid>
      <w:tr w:rsidR="001D2128" w:rsidRPr="005966F6" w:rsidTr="00352A29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2128" w:rsidRPr="005966F6" w:rsidTr="00352A29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17.07.1999 № 178</w:t>
            </w:r>
            <w:r w:rsidRPr="005966F6">
              <w:rPr>
                <w:rFonts w:cs="Times New Roman"/>
                <w:sz w:val="22"/>
              </w:rPr>
              <w:noBreakHyphen/>
              <w:t>ФЗ «О государственной социальной помощи»</w:t>
            </w:r>
          </w:p>
        </w:tc>
        <w:tc>
          <w:tcPr>
            <w:tcW w:w="3260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пп. 2 п.9 ст.4.1 глава 1 </w:t>
            </w:r>
          </w:p>
        </w:tc>
      </w:tr>
    </w:tbl>
    <w:p w:rsidR="001D2128" w:rsidRPr="005966F6" w:rsidRDefault="001D2128" w:rsidP="001D2128">
      <w:pPr>
        <w:jc w:val="center"/>
        <w:rPr>
          <w:rFonts w:cs="Times New Roman"/>
          <w:bCs/>
          <w:szCs w:val="28"/>
        </w:rPr>
      </w:pP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2" w:name="_Toc475437434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292"/>
        <w:gridCol w:w="3075"/>
        <w:gridCol w:w="2652"/>
      </w:tblGrid>
      <w:tr w:rsidR="001D2128" w:rsidRPr="005966F6" w:rsidTr="00352A29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2128" w:rsidRPr="005966F6" w:rsidTr="00352A29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1D2128" w:rsidRPr="005966F6" w:rsidRDefault="001D2128" w:rsidP="001D2128">
      <w:pPr>
        <w:jc w:val="center"/>
        <w:rPr>
          <w:rFonts w:cs="Times New Roman"/>
          <w:bCs/>
          <w:szCs w:val="28"/>
        </w:rPr>
      </w:pP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3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268"/>
      </w:tblGrid>
      <w:tr w:rsidR="001D2128" w:rsidRPr="005966F6" w:rsidTr="001D2128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Указание на структурные единицы акта, соблюдение которых оценивается при </w:t>
            </w:r>
            <w:r w:rsidRPr="005966F6">
              <w:rPr>
                <w:rFonts w:cs="Times New Roman"/>
                <w:sz w:val="22"/>
              </w:rPr>
              <w:lastRenderedPageBreak/>
              <w:t>проведении мероприятий по контролю</w:t>
            </w:r>
          </w:p>
        </w:tc>
      </w:tr>
      <w:tr w:rsidR="001D2128" w:rsidRPr="005966F6" w:rsidTr="001D2128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1D2128" w:rsidRPr="005966F6" w:rsidRDefault="001D2128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Минздравсоцразвития РФ от 29.12.2007 № 816 «Об 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детей-инвалидов»</w:t>
            </w:r>
          </w:p>
        </w:tc>
        <w:tc>
          <w:tcPr>
            <w:tcW w:w="3235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268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 приложение № 2</w:t>
            </w:r>
          </w:p>
        </w:tc>
      </w:tr>
      <w:tr w:rsidR="001D2128" w:rsidRPr="005966F6" w:rsidTr="001D2128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1D2128" w:rsidRPr="005966F6" w:rsidRDefault="001D2128" w:rsidP="00352A2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Минздравсоцразвития РФ от 18.12.2007 № 771 «О 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лечебного питания для детей-инвалидов»</w:t>
            </w:r>
          </w:p>
        </w:tc>
        <w:tc>
          <w:tcPr>
            <w:tcW w:w="3235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268" w:type="dxa"/>
            <w:vAlign w:val="center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1D2128" w:rsidRPr="005966F6" w:rsidRDefault="001D2128" w:rsidP="001D2128">
      <w:pPr>
        <w:jc w:val="center"/>
        <w:rPr>
          <w:rFonts w:cs="Times New Roman"/>
        </w:rPr>
      </w:pPr>
    </w:p>
    <w:p w:rsidR="001D2128" w:rsidRPr="005966F6" w:rsidRDefault="001D2128" w:rsidP="001D2128">
      <w:pPr>
        <w:pStyle w:val="2"/>
        <w:numPr>
          <w:ilvl w:val="0"/>
          <w:numId w:val="43"/>
        </w:numPr>
        <w:rPr>
          <w:rFonts w:cs="Times New Roman"/>
        </w:rPr>
      </w:pPr>
      <w:bookmarkStart w:id="4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292"/>
        <w:gridCol w:w="3075"/>
        <w:gridCol w:w="2652"/>
      </w:tblGrid>
      <w:tr w:rsidR="001D2128" w:rsidRPr="005966F6" w:rsidTr="00352A29">
        <w:tc>
          <w:tcPr>
            <w:tcW w:w="562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D2128" w:rsidRPr="005966F6" w:rsidTr="00352A29">
        <w:tc>
          <w:tcPr>
            <w:tcW w:w="562" w:type="dxa"/>
          </w:tcPr>
          <w:p w:rsidR="001D2128" w:rsidRPr="005966F6" w:rsidRDefault="001D2128" w:rsidP="001D212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1D2128" w:rsidRPr="005966F6" w:rsidRDefault="001D2128" w:rsidP="00352A2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1D2128" w:rsidRPr="005966F6" w:rsidRDefault="001D2128" w:rsidP="00352A29">
            <w:pPr>
              <w:rPr>
                <w:rFonts w:cs="Times New Roman"/>
                <w:sz w:val="22"/>
              </w:rPr>
            </w:pPr>
          </w:p>
        </w:tc>
      </w:tr>
    </w:tbl>
    <w:p w:rsidR="001B57EE" w:rsidRDefault="001B57EE" w:rsidP="001D2128">
      <w:pPr>
        <w:pStyle w:val="1"/>
        <w:rPr>
          <w:rFonts w:cs="Times New Roman"/>
          <w:b w:val="0"/>
        </w:rPr>
      </w:pPr>
    </w:p>
    <w:sectPr w:rsidR="001B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4"/>
    <w:rsid w:val="0006724D"/>
    <w:rsid w:val="001B57EE"/>
    <w:rsid w:val="001D2128"/>
    <w:rsid w:val="003C6ECC"/>
    <w:rsid w:val="005165A4"/>
    <w:rsid w:val="00573C0E"/>
    <w:rsid w:val="008B64EF"/>
    <w:rsid w:val="00962DCE"/>
    <w:rsid w:val="00AB565B"/>
    <w:rsid w:val="00AC1C9A"/>
    <w:rsid w:val="00DE5EC3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Ц0000001401</dc:creator>
  <cp:lastModifiedBy>Чернавина Н Г</cp:lastModifiedBy>
  <cp:revision>2</cp:revision>
  <dcterms:created xsi:type="dcterms:W3CDTF">2017-12-21T05:32:00Z</dcterms:created>
  <dcterms:modified xsi:type="dcterms:W3CDTF">2017-12-21T05:32:00Z</dcterms:modified>
</cp:coreProperties>
</file>